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Pr="005C58FD" w:rsidRDefault="00EA189A" w:rsidP="006F34FB">
      <w:pPr>
        <w:wordWrap w:val="0"/>
        <w:ind w:leftChars="59" w:left="142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全Ｌ協保安・業務Ｇ６</w:t>
      </w:r>
      <w:r w:rsidR="00DF5843" w:rsidRPr="005C58FD">
        <w:rPr>
          <w:rFonts w:ascii="ＭＳ ゴシック" w:hAnsi="ＭＳ ゴシック" w:hint="eastAsia"/>
          <w:szCs w:val="24"/>
        </w:rPr>
        <w:t>第</w:t>
      </w:r>
      <w:r w:rsidR="005270D3" w:rsidRPr="005C58FD">
        <w:rPr>
          <w:rFonts w:ascii="ＭＳ ゴシック" w:hAnsi="ＭＳ ゴシック" w:hint="eastAsia"/>
          <w:szCs w:val="24"/>
        </w:rPr>
        <w:t>１９７</w:t>
      </w:r>
      <w:r w:rsidR="00DF5843" w:rsidRPr="005C58FD">
        <w:rPr>
          <w:rFonts w:ascii="ＭＳ ゴシック" w:hAnsi="ＭＳ ゴシック" w:hint="eastAsia"/>
          <w:szCs w:val="24"/>
        </w:rPr>
        <w:t>号</w:t>
      </w:r>
    </w:p>
    <w:p w:rsidR="00FF400F" w:rsidRPr="005C58FD" w:rsidRDefault="00177D60">
      <w:pPr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令和</w:t>
      </w:r>
      <w:r w:rsidR="00625010" w:rsidRPr="005C58FD">
        <w:rPr>
          <w:rFonts w:ascii="ＭＳ ゴシック" w:hAnsi="ＭＳ ゴシック" w:hint="eastAsia"/>
          <w:szCs w:val="24"/>
        </w:rPr>
        <w:t>６</w:t>
      </w:r>
      <w:r w:rsidR="00221E82" w:rsidRPr="005C58FD">
        <w:rPr>
          <w:rFonts w:ascii="ＭＳ ゴシック" w:hAnsi="ＭＳ ゴシック" w:hint="eastAsia"/>
          <w:szCs w:val="24"/>
        </w:rPr>
        <w:t>年</w:t>
      </w:r>
      <w:r w:rsidR="00EA17BB" w:rsidRPr="005C58FD">
        <w:rPr>
          <w:rFonts w:ascii="ＭＳ ゴシック" w:hAnsi="ＭＳ ゴシック" w:hint="eastAsia"/>
          <w:szCs w:val="24"/>
        </w:rPr>
        <w:t>１２</w:t>
      </w:r>
      <w:r w:rsidR="00C810B5" w:rsidRPr="005C58FD">
        <w:rPr>
          <w:rFonts w:ascii="ＭＳ ゴシック" w:hAnsi="ＭＳ ゴシック" w:hint="eastAsia"/>
          <w:szCs w:val="24"/>
        </w:rPr>
        <w:t>月</w:t>
      </w:r>
      <w:r w:rsidR="007B4CE0">
        <w:rPr>
          <w:rFonts w:ascii="ＭＳ ゴシック" w:hAnsi="ＭＳ ゴシック" w:hint="eastAsia"/>
          <w:szCs w:val="24"/>
        </w:rPr>
        <w:t>１０</w:t>
      </w:r>
      <w:r w:rsidR="00FF400F" w:rsidRPr="005C58FD">
        <w:rPr>
          <w:rFonts w:ascii="ＭＳ ゴシック" w:hAnsi="ＭＳ ゴシック" w:hint="eastAsia"/>
          <w:szCs w:val="24"/>
        </w:rPr>
        <w:t>日</w:t>
      </w:r>
    </w:p>
    <w:p w:rsidR="00FF400F" w:rsidRPr="005C58FD" w:rsidRDefault="00FF400F" w:rsidP="002E58F6">
      <w:pPr>
        <w:rPr>
          <w:rFonts w:ascii="ＭＳ ゴシック" w:hAnsi="ＭＳ ゴシック"/>
          <w:szCs w:val="24"/>
        </w:rPr>
      </w:pPr>
    </w:p>
    <w:p w:rsidR="00FF400F" w:rsidRPr="005C58FD" w:rsidRDefault="00350898" w:rsidP="00E13FFD">
      <w:pPr>
        <w:ind w:firstLineChars="100" w:firstLine="336"/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5C58FD"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 w:rsidRPr="005C58FD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E13FFD" w:rsidRPr="005C58FD" w:rsidRDefault="00E13FFD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E13FFD" w:rsidRPr="005C58FD" w:rsidRDefault="00E13FFD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Pr="005C58FD" w:rsidRDefault="00FF400F">
      <w:pPr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Pr="005C58FD" w:rsidRDefault="00FF400F">
      <w:pPr>
        <w:jc w:val="left"/>
        <w:rPr>
          <w:rFonts w:ascii="ＭＳ ゴシック" w:hAnsi="ＭＳ ゴシック"/>
          <w:szCs w:val="24"/>
        </w:rPr>
      </w:pPr>
    </w:p>
    <w:p w:rsidR="00E13FFD" w:rsidRPr="005C58FD" w:rsidRDefault="00E13FFD">
      <w:pPr>
        <w:jc w:val="left"/>
        <w:rPr>
          <w:rFonts w:ascii="ＭＳ ゴシック" w:hAnsi="ＭＳ ゴシック"/>
          <w:szCs w:val="24"/>
        </w:rPr>
      </w:pPr>
    </w:p>
    <w:p w:rsidR="00520682" w:rsidRPr="005C58FD" w:rsidRDefault="00520682">
      <w:pPr>
        <w:jc w:val="left"/>
        <w:rPr>
          <w:rFonts w:ascii="ＭＳ ゴシック" w:hAnsi="ＭＳ ゴシック"/>
          <w:szCs w:val="24"/>
        </w:rPr>
      </w:pPr>
    </w:p>
    <w:p w:rsidR="00E13FFD" w:rsidRPr="005C58FD" w:rsidRDefault="00EA17BB" w:rsidP="00EA17BB">
      <w:pPr>
        <w:ind w:leftChars="177" w:left="1407" w:hanging="982"/>
        <w:jc w:val="center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ガス機器等の点検等を装った訪問者に対する注意喚起について(お願い)</w:t>
      </w:r>
    </w:p>
    <w:p w:rsidR="005270D3" w:rsidRPr="005C58FD" w:rsidRDefault="005270D3" w:rsidP="00EA17BB">
      <w:pPr>
        <w:ind w:leftChars="177" w:left="1407" w:hanging="982"/>
        <w:jc w:val="center"/>
        <w:rPr>
          <w:rFonts w:ascii="ＭＳ ゴシック" w:hAnsi="ＭＳ ゴシック"/>
          <w:szCs w:val="24"/>
        </w:rPr>
      </w:pPr>
    </w:p>
    <w:p w:rsidR="005270D3" w:rsidRPr="005C58FD" w:rsidRDefault="005270D3" w:rsidP="00EA17BB">
      <w:pPr>
        <w:ind w:leftChars="177" w:left="1407" w:hanging="982"/>
        <w:jc w:val="center"/>
        <w:rPr>
          <w:rFonts w:ascii="ＭＳ ゴシック" w:hAnsi="ＭＳ ゴシック"/>
          <w:szCs w:val="24"/>
        </w:rPr>
      </w:pPr>
    </w:p>
    <w:p w:rsidR="005270D3" w:rsidRPr="005C58FD" w:rsidRDefault="005270D3" w:rsidP="00BC3E85">
      <w:pPr>
        <w:pStyle w:val="af"/>
        <w:spacing w:line="400" w:lineRule="exact"/>
        <w:ind w:right="56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5C58FD">
        <w:rPr>
          <w:rFonts w:ascii="ＭＳ ゴシック" w:eastAsia="ＭＳ ゴシック" w:hAnsi="ＭＳ ゴシック" w:hint="eastAsia"/>
          <w:sz w:val="24"/>
          <w:szCs w:val="24"/>
        </w:rPr>
        <w:t>標記につきまして、経済産業省より別紙のとおり依頼がありました。</w:t>
      </w:r>
    </w:p>
    <w:p w:rsidR="000E2154" w:rsidRPr="005C58FD" w:rsidRDefault="000E2154" w:rsidP="000E2154">
      <w:pPr>
        <w:rPr>
          <w:rFonts w:ascii="ＭＳ ゴシック" w:hAnsi="ＭＳ ゴシック"/>
          <w:szCs w:val="24"/>
        </w:rPr>
      </w:pPr>
    </w:p>
    <w:p w:rsidR="000E2154" w:rsidRDefault="003E29AC" w:rsidP="003E29AC">
      <w:pPr>
        <w:ind w:rightChars="94" w:right="226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本件は、</w:t>
      </w:r>
      <w:r>
        <w:rPr>
          <w:rFonts w:ascii="ＭＳ ゴシック" w:hAnsi="ＭＳ ゴシック"/>
          <w:szCs w:val="24"/>
        </w:rPr>
        <w:t>近年</w:t>
      </w:r>
      <w:r w:rsidR="000E2154" w:rsidRPr="005C58FD">
        <w:rPr>
          <w:rFonts w:ascii="ＭＳ ゴシック" w:hAnsi="ＭＳ ゴシック"/>
          <w:szCs w:val="24"/>
        </w:rPr>
        <w:t>ガス機器の点検を装った</w:t>
      </w:r>
      <w:r>
        <w:rPr>
          <w:rFonts w:ascii="ＭＳ ゴシック" w:hAnsi="ＭＳ ゴシック"/>
          <w:szCs w:val="24"/>
        </w:rPr>
        <w:t>不審な訪問によるトラブルが多発して</w:t>
      </w:r>
      <w:r>
        <w:rPr>
          <w:rFonts w:ascii="ＭＳ ゴシック" w:hAnsi="ＭＳ ゴシック" w:hint="eastAsia"/>
          <w:szCs w:val="24"/>
        </w:rPr>
        <w:t>いることから、一般消費者</w:t>
      </w:r>
      <w:r>
        <w:rPr>
          <w:rFonts w:ascii="ＭＳ ゴシック" w:hAnsi="ＭＳ ゴシック"/>
          <w:szCs w:val="24"/>
        </w:rPr>
        <w:t>の安全確保と</w:t>
      </w:r>
      <w:r w:rsidR="000E2154" w:rsidRPr="005C58FD">
        <w:rPr>
          <w:rFonts w:ascii="ＭＳ ゴシック" w:hAnsi="ＭＳ ゴシック"/>
          <w:szCs w:val="24"/>
        </w:rPr>
        <w:t>円滑なガス点検業務の実施のため、</w:t>
      </w:r>
      <w:r>
        <w:rPr>
          <w:rFonts w:hint="eastAsia"/>
          <w:szCs w:val="24"/>
        </w:rPr>
        <w:t>その対応を要請されたものです。</w:t>
      </w:r>
    </w:p>
    <w:p w:rsidR="0054557E" w:rsidRDefault="0054557E" w:rsidP="003E29AC">
      <w:pPr>
        <w:ind w:rightChars="94" w:right="226" w:firstLineChars="100" w:firstLine="240"/>
        <w:rPr>
          <w:rFonts w:ascii="ＭＳ ゴシック" w:hAnsi="ＭＳ ゴシック"/>
          <w:szCs w:val="24"/>
        </w:rPr>
      </w:pPr>
    </w:p>
    <w:p w:rsidR="0054557E" w:rsidRPr="0054557E" w:rsidRDefault="0054557E" w:rsidP="0054557E">
      <w:pPr>
        <w:ind w:rightChars="94" w:right="226" w:firstLineChars="100" w:firstLine="240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つきましては、都道府県協会におかれましては会員に対し、また、直接会員</w:t>
      </w:r>
      <w:r w:rsidR="007B4CE0">
        <w:rPr>
          <w:rFonts w:ascii="ＭＳ ゴシック" w:hAnsi="ＭＳ ゴシック" w:hint="eastAsia"/>
          <w:szCs w:val="24"/>
        </w:rPr>
        <w:t>におかれましては営業所等に対し、別添の内容を踏まえた対応をご周知</w:t>
      </w:r>
      <w:r w:rsidRPr="005C58FD">
        <w:rPr>
          <w:rFonts w:ascii="ＭＳ ゴシック" w:hAnsi="ＭＳ ゴシック" w:hint="eastAsia"/>
          <w:szCs w:val="24"/>
        </w:rPr>
        <w:t>いただきますようお願いいたします。</w:t>
      </w:r>
    </w:p>
    <w:p w:rsidR="000E2154" w:rsidRPr="005C58FD" w:rsidRDefault="000E2154" w:rsidP="003E29AC">
      <w:pPr>
        <w:ind w:leftChars="59" w:left="142" w:rightChars="94" w:right="226" w:firstLineChars="59" w:firstLine="142"/>
        <w:jc w:val="left"/>
        <w:rPr>
          <w:rFonts w:ascii="ＭＳ ゴシック" w:hAnsi="ＭＳ ゴシック"/>
          <w:szCs w:val="24"/>
        </w:rPr>
      </w:pPr>
    </w:p>
    <w:p w:rsidR="005C58FD" w:rsidRPr="005C58FD" w:rsidRDefault="005C58FD" w:rsidP="003E29AC">
      <w:pPr>
        <w:ind w:leftChars="-118" w:left="-283" w:rightChars="94" w:right="226" w:firstLineChars="59" w:firstLine="142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【</w:t>
      </w:r>
      <w:r w:rsidR="0054557E">
        <w:rPr>
          <w:rFonts w:ascii="ＭＳ ゴシック" w:hAnsi="ＭＳ ゴシック" w:hint="eastAsia"/>
          <w:szCs w:val="24"/>
        </w:rPr>
        <w:t>概要</w:t>
      </w:r>
      <w:r w:rsidRPr="005C58FD">
        <w:rPr>
          <w:rFonts w:ascii="ＭＳ ゴシック" w:hAnsi="ＭＳ ゴシック" w:hint="eastAsia"/>
          <w:szCs w:val="24"/>
        </w:rPr>
        <w:t>】</w:t>
      </w:r>
    </w:p>
    <w:p w:rsidR="005270D3" w:rsidRPr="005C58FD" w:rsidRDefault="000E2154" w:rsidP="003E29AC">
      <w:pPr>
        <w:ind w:leftChars="-118" w:left="-283" w:rightChars="94" w:right="226" w:firstLineChars="59" w:firstLine="142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（一般消費者への訪問に際しての取組）</w:t>
      </w:r>
    </w:p>
    <w:p w:rsidR="000E2154" w:rsidRPr="005C58FD" w:rsidRDefault="000E2154" w:rsidP="003E29AC">
      <w:pPr>
        <w:ind w:leftChars="118" w:left="643" w:rightChars="94" w:right="226" w:hangingChars="150" w:hanging="360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・ ガス機器等の点検等に当たって、訪問者は社名等が入った制服等を着用する。また、身分証等を携帯し、一般消費者の要請に応じ提示する。</w:t>
      </w:r>
    </w:p>
    <w:p w:rsidR="00E13FFD" w:rsidRPr="005C58FD" w:rsidRDefault="000E2154" w:rsidP="003E29AC">
      <w:pPr>
        <w:ind w:leftChars="118" w:left="643" w:rightChars="94" w:right="226" w:hangingChars="150" w:hanging="360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・ 定期保安点検は、事前にチラシ等にて訪問予定をお知らせする。</w:t>
      </w:r>
    </w:p>
    <w:p w:rsidR="005C58FD" w:rsidRPr="005C58FD" w:rsidRDefault="005C58FD" w:rsidP="003E29AC">
      <w:pPr>
        <w:ind w:leftChars="118" w:left="643" w:rightChars="94" w:right="226" w:hangingChars="150" w:hanging="360"/>
        <w:jc w:val="left"/>
        <w:rPr>
          <w:rFonts w:ascii="ＭＳ ゴシック" w:hAnsi="ＭＳ ゴシック"/>
          <w:szCs w:val="24"/>
        </w:rPr>
      </w:pPr>
    </w:p>
    <w:p w:rsidR="002F40CA" w:rsidRDefault="005C58FD" w:rsidP="003E29AC">
      <w:pPr>
        <w:ind w:leftChars="-59" w:left="643" w:rightChars="94" w:right="226" w:hangingChars="327" w:hanging="785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（一般消費者へ周知）</w:t>
      </w:r>
    </w:p>
    <w:p w:rsidR="003E29AC" w:rsidRDefault="005C58FD" w:rsidP="003E29AC">
      <w:pPr>
        <w:ind w:leftChars="59" w:left="641" w:rightChars="94" w:right="226" w:hangingChars="208" w:hanging="499"/>
        <w:jc w:val="left"/>
        <w:rPr>
          <w:rFonts w:ascii="ＭＳ ゴシック" w:hAnsi="ＭＳ ゴシック" w:cs="ＭＳ 明朝"/>
          <w:kern w:val="0"/>
          <w:szCs w:val="24"/>
        </w:rPr>
      </w:pPr>
      <w:r w:rsidRPr="005C58FD">
        <w:rPr>
          <w:rFonts w:ascii="ＭＳ ゴシック" w:hAnsi="ＭＳ ゴシック" w:cs="Wingdings-Regular" w:hint="eastAsia"/>
          <w:kern w:val="0"/>
          <w:szCs w:val="24"/>
        </w:rPr>
        <w:t>・</w:t>
      </w:r>
      <w:r w:rsidRPr="005C58FD">
        <w:rPr>
          <w:rFonts w:ascii="ＭＳ ゴシック" w:hAnsi="ＭＳ ゴシック" w:cs="Wingdings-Regular"/>
          <w:kern w:val="0"/>
          <w:szCs w:val="24"/>
        </w:rPr>
        <w:t xml:space="preserve"> 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事前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に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予定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されていない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訪問等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、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不審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に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感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じる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点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がある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場合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は、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制服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の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社名等</w:t>
      </w:r>
    </w:p>
    <w:p w:rsidR="005C58FD" w:rsidRPr="003E29AC" w:rsidRDefault="005C58FD" w:rsidP="003E29AC">
      <w:pPr>
        <w:ind w:rightChars="94" w:right="226" w:firstLineChars="200" w:firstLine="480"/>
        <w:jc w:val="left"/>
        <w:rPr>
          <w:rFonts w:ascii="ＭＳ ゴシック" w:hAnsi="ＭＳ ゴシック" w:cs="Malgun Gothic Semilight"/>
          <w:kern w:val="0"/>
          <w:szCs w:val="24"/>
        </w:rPr>
      </w:pPr>
      <w:r w:rsidRPr="005C58FD">
        <w:rPr>
          <w:rFonts w:ascii="ＭＳ ゴシック" w:hAnsi="ＭＳ ゴシック" w:cs="Malgun Gothic Semilight" w:hint="eastAsia"/>
          <w:kern w:val="0"/>
          <w:szCs w:val="24"/>
        </w:rPr>
        <w:t>を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確認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するとともに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身分証等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の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提示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を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求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める。</w:t>
      </w:r>
    </w:p>
    <w:p w:rsidR="003E29AC" w:rsidRDefault="005C58FD" w:rsidP="003E29AC">
      <w:pPr>
        <w:autoSpaceDE w:val="0"/>
        <w:autoSpaceDN w:val="0"/>
        <w:adjustRightInd w:val="0"/>
        <w:ind w:leftChars="57" w:left="617" w:rightChars="94" w:right="226" w:hangingChars="200" w:hanging="480"/>
        <w:jc w:val="left"/>
        <w:rPr>
          <w:rFonts w:ascii="ＭＳ ゴシック" w:hAnsi="ＭＳ ゴシック" w:cs="ＭＳ 明朝"/>
          <w:kern w:val="0"/>
          <w:szCs w:val="24"/>
        </w:rPr>
      </w:pPr>
      <w:r>
        <w:rPr>
          <w:rFonts w:ascii="ＭＳ ゴシック" w:hAnsi="ＭＳ ゴシック" w:cs="Wingdings-Regular" w:hint="eastAsia"/>
          <w:kern w:val="0"/>
          <w:szCs w:val="24"/>
        </w:rPr>
        <w:t>・</w:t>
      </w:r>
      <w:r w:rsidR="00B83988">
        <w:rPr>
          <w:rFonts w:ascii="ＭＳ ゴシック" w:hAnsi="ＭＳ ゴシック" w:cs="Wingdings-Regular" w:hint="eastAsia"/>
          <w:kern w:val="0"/>
          <w:szCs w:val="24"/>
        </w:rPr>
        <w:t xml:space="preserve"> </w:t>
      </w:r>
      <w:r w:rsidRPr="005C58FD">
        <w:rPr>
          <w:rFonts w:ascii="ＭＳ ゴシック" w:hAnsi="ＭＳ ゴシック" w:cs="Wingdings-Regular" w:hint="eastAsia"/>
          <w:kern w:val="0"/>
          <w:szCs w:val="24"/>
        </w:rPr>
        <w:t>ガス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機器等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の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点検等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の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訪問目的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を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確認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し、はっきりとした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答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えがない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場合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や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不</w:t>
      </w:r>
    </w:p>
    <w:p w:rsidR="002F40CA" w:rsidRPr="003E29AC" w:rsidRDefault="005C58FD" w:rsidP="003E29AC">
      <w:pPr>
        <w:autoSpaceDE w:val="0"/>
        <w:autoSpaceDN w:val="0"/>
        <w:adjustRightInd w:val="0"/>
        <w:ind w:leftChars="207" w:left="617" w:rightChars="94" w:right="226" w:hangingChars="50" w:hanging="120"/>
        <w:jc w:val="left"/>
        <w:rPr>
          <w:rFonts w:ascii="ＭＳ ゴシック" w:hAnsi="ＭＳ ゴシック" w:cs="ＭＳ 明朝"/>
          <w:kern w:val="0"/>
          <w:szCs w:val="24"/>
        </w:rPr>
      </w:pPr>
      <w:r w:rsidRPr="005C58FD">
        <w:rPr>
          <w:rFonts w:ascii="ＭＳ ゴシック" w:hAnsi="ＭＳ ゴシック" w:cs="ＭＳ 明朝" w:hint="eastAsia"/>
          <w:kern w:val="0"/>
          <w:szCs w:val="24"/>
        </w:rPr>
        <w:t>安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な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場合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には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契約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している</w:t>
      </w:r>
      <w:r w:rsidR="00B83988">
        <w:rPr>
          <w:rFonts w:ascii="ＭＳ ゴシック" w:hAnsi="ＭＳ ゴシック" w:cs="Wingdings-Regular" w:hint="eastAsia"/>
          <w:kern w:val="0"/>
          <w:szCs w:val="24"/>
        </w:rPr>
        <w:t>ＬＰ</w:t>
      </w:r>
      <w:r w:rsidRPr="005C58FD">
        <w:rPr>
          <w:rFonts w:ascii="ＭＳ ゴシック" w:hAnsi="ＭＳ ゴシック" w:cs="Wingdings-Regular" w:hint="eastAsia"/>
          <w:kern w:val="0"/>
          <w:szCs w:val="24"/>
        </w:rPr>
        <w:t>ガス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販売事業者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に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問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い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合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わせる。</w:t>
      </w:r>
    </w:p>
    <w:p w:rsidR="00E13FFD" w:rsidRPr="002F40CA" w:rsidRDefault="005C58FD" w:rsidP="003E29AC">
      <w:pPr>
        <w:autoSpaceDE w:val="0"/>
        <w:autoSpaceDN w:val="0"/>
        <w:adjustRightInd w:val="0"/>
        <w:ind w:leftChars="57" w:left="617" w:rightChars="94" w:right="226" w:hangingChars="200" w:hanging="480"/>
        <w:jc w:val="left"/>
        <w:rPr>
          <w:rFonts w:ascii="ＭＳ ゴシック" w:hAnsi="ＭＳ ゴシック" w:cs="Wingdings-Regular"/>
          <w:kern w:val="0"/>
          <w:szCs w:val="24"/>
        </w:rPr>
      </w:pPr>
      <w:r>
        <w:rPr>
          <w:rFonts w:ascii="ＭＳ ゴシック" w:hAnsi="ＭＳ ゴシック" w:cs="Wingdings-Regular" w:hint="eastAsia"/>
          <w:kern w:val="0"/>
          <w:szCs w:val="24"/>
        </w:rPr>
        <w:t>・</w:t>
      </w:r>
      <w:r w:rsidR="00B83988">
        <w:rPr>
          <w:rFonts w:ascii="ＭＳ ゴシック" w:hAnsi="ＭＳ ゴシック" w:cs="Wingdings-Regular" w:hint="eastAsia"/>
          <w:kern w:val="0"/>
          <w:szCs w:val="24"/>
        </w:rPr>
        <w:t xml:space="preserve"> 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公的機関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に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似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た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名称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を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名乗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る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業者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もい</w:t>
      </w:r>
      <w:r w:rsidRPr="005C58FD">
        <w:rPr>
          <w:rFonts w:ascii="ＭＳ ゴシック" w:hAnsi="ＭＳ ゴシック" w:cs="Wingdings-Regular" w:hint="eastAsia"/>
          <w:kern w:val="0"/>
          <w:szCs w:val="24"/>
        </w:rPr>
        <w:t>るため、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知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らない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社名等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には</w:t>
      </w:r>
      <w:r w:rsidRPr="005C58FD">
        <w:rPr>
          <w:rFonts w:ascii="ＭＳ ゴシック" w:hAnsi="ＭＳ ゴシック" w:cs="ＭＳ 明朝" w:hint="eastAsia"/>
          <w:kern w:val="0"/>
          <w:szCs w:val="24"/>
        </w:rPr>
        <w:t>注意</w:t>
      </w:r>
      <w:r w:rsidRPr="005C58FD">
        <w:rPr>
          <w:rFonts w:ascii="ＭＳ ゴシック" w:hAnsi="ＭＳ ゴシック" w:cs="Malgun Gothic Semilight" w:hint="eastAsia"/>
          <w:kern w:val="0"/>
          <w:szCs w:val="24"/>
        </w:rPr>
        <w:t>する。</w:t>
      </w:r>
    </w:p>
    <w:p w:rsidR="00E13FFD" w:rsidRPr="00B83988" w:rsidRDefault="00F443EA" w:rsidP="003E29AC">
      <w:pPr>
        <w:ind w:rightChars="94" w:right="226"/>
        <w:rPr>
          <w:rFonts w:ascii="ＭＳ ゴシック" w:hAnsi="ＭＳ ゴシック"/>
          <w:szCs w:val="24"/>
        </w:rPr>
      </w:pPr>
      <w:r w:rsidRPr="00F443EA">
        <w:rPr>
          <w:rFonts w:cs="Century"/>
          <w:noProof/>
          <w:color w:val="0000FF"/>
          <w:kern w:val="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160655</wp:posOffset>
            </wp:positionV>
            <wp:extent cx="624840" cy="62484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8FD" w:rsidRDefault="005C58FD" w:rsidP="00B83988">
      <w:pPr>
        <w:ind w:leftChars="-1" w:left="279" w:hangingChars="117" w:hanging="281"/>
        <w:jc w:val="lef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警視庁</w:t>
      </w:r>
      <w:r>
        <w:rPr>
          <w:rFonts w:ascii="ＭＳ ゴシック" w:hAnsi="ＭＳ ゴシック" w:hint="eastAsia"/>
          <w:szCs w:val="24"/>
        </w:rPr>
        <w:t>ＨＰ</w:t>
      </w:r>
      <w:r w:rsidRPr="005C58FD">
        <w:rPr>
          <w:rFonts w:ascii="ＭＳ ゴシック" w:hAnsi="ＭＳ ゴシック" w:hint="eastAsia"/>
          <w:szCs w:val="24"/>
        </w:rPr>
        <w:t>：「事業者等を装った訪問者に注意」</w:t>
      </w:r>
    </w:p>
    <w:p w:rsidR="005C58FD" w:rsidRPr="005C58FD" w:rsidRDefault="00BC3E85" w:rsidP="00B83988">
      <w:pPr>
        <w:ind w:leftChars="-1" w:left="279" w:hangingChars="117" w:hanging="281"/>
        <w:jc w:val="left"/>
        <w:rPr>
          <w:rFonts w:ascii="ＭＳ ゴシック" w:hAnsi="ＭＳ ゴシック"/>
          <w:szCs w:val="24"/>
        </w:rPr>
      </w:pPr>
      <w:hyperlink r:id="rId9" w:history="1">
        <w:r w:rsidR="00F443EA" w:rsidRPr="003555F8">
          <w:rPr>
            <w:rStyle w:val="ad"/>
            <w:rFonts w:cs="Century"/>
            <w:kern w:val="0"/>
            <w:sz w:val="21"/>
            <w:szCs w:val="21"/>
          </w:rPr>
          <w:t>https://www.keishicho.metro.tokyo.lg.jp/kurashi/higai/akisu/visitor_theft.html</w:t>
        </w:r>
      </w:hyperlink>
      <w:r w:rsidR="00F443EA">
        <w:rPr>
          <w:rFonts w:cs="Century" w:hint="eastAsia"/>
          <w:color w:val="0000FF"/>
          <w:kern w:val="0"/>
          <w:sz w:val="21"/>
          <w:szCs w:val="21"/>
        </w:rPr>
        <w:t xml:space="preserve">　</w:t>
      </w:r>
      <w:r w:rsidR="00F443EA" w:rsidRPr="00F443EA">
        <w:rPr>
          <w:noProof/>
        </w:rPr>
        <w:t xml:space="preserve"> </w:t>
      </w:r>
    </w:p>
    <w:p w:rsidR="00B83988" w:rsidRDefault="00B83988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</w:p>
    <w:p w:rsidR="00E13FFD" w:rsidRPr="005C58FD" w:rsidRDefault="00E13FFD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以 上</w:t>
      </w:r>
    </w:p>
    <w:p w:rsidR="00E13FFD" w:rsidRPr="005C58FD" w:rsidRDefault="00E13FFD" w:rsidP="00E13FFD">
      <w:pPr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>発信手段：Ｅメール</w:t>
      </w:r>
    </w:p>
    <w:p w:rsidR="00FF400F" w:rsidRPr="005C58FD" w:rsidRDefault="00E13FFD" w:rsidP="00E13FFD">
      <w:pPr>
        <w:wordWrap w:val="0"/>
        <w:ind w:leftChars="-118" w:left="283" w:hangingChars="236" w:hanging="566"/>
        <w:jc w:val="right"/>
        <w:rPr>
          <w:rFonts w:ascii="ＭＳ ゴシック" w:hAnsi="ＭＳ ゴシック"/>
          <w:szCs w:val="24"/>
        </w:rPr>
      </w:pPr>
      <w:r w:rsidRPr="005C58FD">
        <w:rPr>
          <w:rFonts w:ascii="ＭＳ ゴシック" w:hAnsi="ＭＳ ゴシック" w:hint="eastAsia"/>
          <w:szCs w:val="24"/>
        </w:rPr>
        <w:t xml:space="preserve">担当：保安・業務グループ </w:t>
      </w:r>
      <w:r w:rsidR="00EA17BB" w:rsidRPr="005C58FD">
        <w:rPr>
          <w:rFonts w:ascii="ＭＳ ゴシック" w:hAnsi="ＭＳ ゴシック" w:hint="eastAsia"/>
          <w:szCs w:val="24"/>
        </w:rPr>
        <w:t>瀬谷</w:t>
      </w:r>
      <w:r w:rsidRPr="005C58FD">
        <w:rPr>
          <w:rFonts w:ascii="ＭＳ ゴシック" w:hAnsi="ＭＳ ゴシック" w:hint="eastAsia"/>
          <w:szCs w:val="24"/>
        </w:rPr>
        <w:t>、國坂</w:t>
      </w:r>
    </w:p>
    <w:sectPr w:rsidR="00FF400F" w:rsidRPr="005C58FD" w:rsidSect="00B83988">
      <w:pgSz w:w="11906" w:h="16838" w:code="9"/>
      <w:pgMar w:top="709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8C" w:rsidRDefault="004B2A8C">
      <w:r>
        <w:separator/>
      </w:r>
    </w:p>
  </w:endnote>
  <w:endnote w:type="continuationSeparator" w:id="0">
    <w:p w:rsidR="004B2A8C" w:rsidRDefault="004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8C" w:rsidRDefault="004B2A8C">
      <w:r>
        <w:separator/>
      </w:r>
    </w:p>
  </w:footnote>
  <w:footnote w:type="continuationSeparator" w:id="0">
    <w:p w:rsidR="004B2A8C" w:rsidRDefault="004B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30E0B"/>
    <w:rsid w:val="000578AE"/>
    <w:rsid w:val="0008512E"/>
    <w:rsid w:val="000A3363"/>
    <w:rsid w:val="000A586D"/>
    <w:rsid w:val="000B6A2C"/>
    <w:rsid w:val="000B7F61"/>
    <w:rsid w:val="000C61E1"/>
    <w:rsid w:val="000E2154"/>
    <w:rsid w:val="001107CB"/>
    <w:rsid w:val="001229E6"/>
    <w:rsid w:val="00152C7D"/>
    <w:rsid w:val="001778F0"/>
    <w:rsid w:val="00177D60"/>
    <w:rsid w:val="0018531E"/>
    <w:rsid w:val="001965CE"/>
    <w:rsid w:val="001C5DB9"/>
    <w:rsid w:val="001D62F6"/>
    <w:rsid w:val="001E2A39"/>
    <w:rsid w:val="001E4DA7"/>
    <w:rsid w:val="00221E82"/>
    <w:rsid w:val="00236EE2"/>
    <w:rsid w:val="0024605F"/>
    <w:rsid w:val="0026374B"/>
    <w:rsid w:val="002667AE"/>
    <w:rsid w:val="0028522C"/>
    <w:rsid w:val="002A254C"/>
    <w:rsid w:val="002C1729"/>
    <w:rsid w:val="002D4C7F"/>
    <w:rsid w:val="002E0A75"/>
    <w:rsid w:val="002E58F6"/>
    <w:rsid w:val="002E6966"/>
    <w:rsid w:val="002F40CA"/>
    <w:rsid w:val="00344E99"/>
    <w:rsid w:val="00350898"/>
    <w:rsid w:val="003708F9"/>
    <w:rsid w:val="00371229"/>
    <w:rsid w:val="00384BE2"/>
    <w:rsid w:val="00396238"/>
    <w:rsid w:val="00396248"/>
    <w:rsid w:val="003A642A"/>
    <w:rsid w:val="003B21C3"/>
    <w:rsid w:val="003D05CD"/>
    <w:rsid w:val="003E29AC"/>
    <w:rsid w:val="003E3F0F"/>
    <w:rsid w:val="00402733"/>
    <w:rsid w:val="0040542D"/>
    <w:rsid w:val="00424E11"/>
    <w:rsid w:val="00425FC0"/>
    <w:rsid w:val="00473B30"/>
    <w:rsid w:val="00480294"/>
    <w:rsid w:val="004846C4"/>
    <w:rsid w:val="004950B0"/>
    <w:rsid w:val="00497C50"/>
    <w:rsid w:val="004A3FE6"/>
    <w:rsid w:val="004B2A8C"/>
    <w:rsid w:val="004C7B56"/>
    <w:rsid w:val="00520682"/>
    <w:rsid w:val="00523FB4"/>
    <w:rsid w:val="005270D3"/>
    <w:rsid w:val="005436F4"/>
    <w:rsid w:val="00544AE9"/>
    <w:rsid w:val="0054557E"/>
    <w:rsid w:val="005576E8"/>
    <w:rsid w:val="00574986"/>
    <w:rsid w:val="005A2098"/>
    <w:rsid w:val="005A6238"/>
    <w:rsid w:val="005B125D"/>
    <w:rsid w:val="005C58FD"/>
    <w:rsid w:val="005E45DA"/>
    <w:rsid w:val="005F5B10"/>
    <w:rsid w:val="00612D7D"/>
    <w:rsid w:val="00615333"/>
    <w:rsid w:val="00617546"/>
    <w:rsid w:val="006238BC"/>
    <w:rsid w:val="00625010"/>
    <w:rsid w:val="00636627"/>
    <w:rsid w:val="00673F75"/>
    <w:rsid w:val="006964A6"/>
    <w:rsid w:val="006A2F47"/>
    <w:rsid w:val="006A3FAA"/>
    <w:rsid w:val="006B2CBD"/>
    <w:rsid w:val="006B7AF4"/>
    <w:rsid w:val="006C2BB4"/>
    <w:rsid w:val="006E01E2"/>
    <w:rsid w:val="006E12E2"/>
    <w:rsid w:val="006F34FB"/>
    <w:rsid w:val="007274BB"/>
    <w:rsid w:val="0073435B"/>
    <w:rsid w:val="0073726F"/>
    <w:rsid w:val="00746005"/>
    <w:rsid w:val="007514DA"/>
    <w:rsid w:val="0076763F"/>
    <w:rsid w:val="00787260"/>
    <w:rsid w:val="007872D4"/>
    <w:rsid w:val="007914B2"/>
    <w:rsid w:val="007B4CE0"/>
    <w:rsid w:val="007B6B86"/>
    <w:rsid w:val="007E0ECB"/>
    <w:rsid w:val="0081386A"/>
    <w:rsid w:val="0081475B"/>
    <w:rsid w:val="00826FC2"/>
    <w:rsid w:val="00827004"/>
    <w:rsid w:val="00832DE1"/>
    <w:rsid w:val="00857D89"/>
    <w:rsid w:val="008644C3"/>
    <w:rsid w:val="00873894"/>
    <w:rsid w:val="0089409C"/>
    <w:rsid w:val="008B52F1"/>
    <w:rsid w:val="008B7275"/>
    <w:rsid w:val="008D325E"/>
    <w:rsid w:val="008F695C"/>
    <w:rsid w:val="008F7ABC"/>
    <w:rsid w:val="009017CD"/>
    <w:rsid w:val="0092146C"/>
    <w:rsid w:val="00922BF5"/>
    <w:rsid w:val="00926D3D"/>
    <w:rsid w:val="00954489"/>
    <w:rsid w:val="009726BD"/>
    <w:rsid w:val="00980475"/>
    <w:rsid w:val="009D047C"/>
    <w:rsid w:val="009F64FC"/>
    <w:rsid w:val="009F6F85"/>
    <w:rsid w:val="00A01A0F"/>
    <w:rsid w:val="00A05B4F"/>
    <w:rsid w:val="00A16FF5"/>
    <w:rsid w:val="00A3009A"/>
    <w:rsid w:val="00A4062F"/>
    <w:rsid w:val="00A80EC2"/>
    <w:rsid w:val="00A838CE"/>
    <w:rsid w:val="00A8496F"/>
    <w:rsid w:val="00A87A50"/>
    <w:rsid w:val="00AA390D"/>
    <w:rsid w:val="00AB0BCC"/>
    <w:rsid w:val="00AB256A"/>
    <w:rsid w:val="00AB3520"/>
    <w:rsid w:val="00AB695C"/>
    <w:rsid w:val="00AE10BC"/>
    <w:rsid w:val="00B33C75"/>
    <w:rsid w:val="00B50F23"/>
    <w:rsid w:val="00B63568"/>
    <w:rsid w:val="00B83988"/>
    <w:rsid w:val="00BA513C"/>
    <w:rsid w:val="00BA778C"/>
    <w:rsid w:val="00BA7B7F"/>
    <w:rsid w:val="00BB1318"/>
    <w:rsid w:val="00BB2A52"/>
    <w:rsid w:val="00BB4589"/>
    <w:rsid w:val="00BC07B8"/>
    <w:rsid w:val="00BC3E85"/>
    <w:rsid w:val="00BD412B"/>
    <w:rsid w:val="00BD69F5"/>
    <w:rsid w:val="00BF5DE7"/>
    <w:rsid w:val="00C0397F"/>
    <w:rsid w:val="00C0650D"/>
    <w:rsid w:val="00C16808"/>
    <w:rsid w:val="00C21BD6"/>
    <w:rsid w:val="00C30376"/>
    <w:rsid w:val="00C56E90"/>
    <w:rsid w:val="00C70150"/>
    <w:rsid w:val="00C714B4"/>
    <w:rsid w:val="00C810B5"/>
    <w:rsid w:val="00C940C1"/>
    <w:rsid w:val="00C94219"/>
    <w:rsid w:val="00CA2148"/>
    <w:rsid w:val="00CA3882"/>
    <w:rsid w:val="00CC3669"/>
    <w:rsid w:val="00CE089A"/>
    <w:rsid w:val="00CE31F1"/>
    <w:rsid w:val="00D15048"/>
    <w:rsid w:val="00D46592"/>
    <w:rsid w:val="00D525A1"/>
    <w:rsid w:val="00D54EF0"/>
    <w:rsid w:val="00D64DE6"/>
    <w:rsid w:val="00D92B61"/>
    <w:rsid w:val="00D92C86"/>
    <w:rsid w:val="00DA0506"/>
    <w:rsid w:val="00DA05C6"/>
    <w:rsid w:val="00DB231C"/>
    <w:rsid w:val="00DE4E58"/>
    <w:rsid w:val="00DF5843"/>
    <w:rsid w:val="00DF6D37"/>
    <w:rsid w:val="00DF6F19"/>
    <w:rsid w:val="00E13600"/>
    <w:rsid w:val="00E13FFD"/>
    <w:rsid w:val="00E14B9E"/>
    <w:rsid w:val="00E27C07"/>
    <w:rsid w:val="00E3525F"/>
    <w:rsid w:val="00E57639"/>
    <w:rsid w:val="00E62726"/>
    <w:rsid w:val="00E8443A"/>
    <w:rsid w:val="00EA1266"/>
    <w:rsid w:val="00EA17BB"/>
    <w:rsid w:val="00EA189A"/>
    <w:rsid w:val="00EF37EB"/>
    <w:rsid w:val="00F02A45"/>
    <w:rsid w:val="00F11B5C"/>
    <w:rsid w:val="00F253C9"/>
    <w:rsid w:val="00F25D9C"/>
    <w:rsid w:val="00F273BB"/>
    <w:rsid w:val="00F40FFA"/>
    <w:rsid w:val="00F4307D"/>
    <w:rsid w:val="00F443EA"/>
    <w:rsid w:val="00F73DDD"/>
    <w:rsid w:val="00F74C12"/>
    <w:rsid w:val="00F803FD"/>
    <w:rsid w:val="00FA1ED0"/>
    <w:rsid w:val="00FA31CB"/>
    <w:rsid w:val="00FC3F97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5270D3"/>
    <w:pPr>
      <w:adjustRightInd w:val="0"/>
      <w:spacing w:line="360" w:lineRule="atLeast"/>
      <w:jc w:val="right"/>
      <w:textAlignment w:val="baseline"/>
    </w:pPr>
    <w:rPr>
      <w:rFonts w:eastAsia="ＭＳ 明朝"/>
      <w:kern w:val="0"/>
      <w:sz w:val="21"/>
      <w:szCs w:val="20"/>
    </w:rPr>
  </w:style>
  <w:style w:type="character" w:customStyle="1" w:styleId="af0">
    <w:name w:val="日付 (文字)"/>
    <w:basedOn w:val="a0"/>
    <w:link w:val="af"/>
    <w:rsid w:val="005270D3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ishicho.metro.tokyo.lg.jp/kurashi/higai/akisu/visitor_theft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77800-6D64-4A1A-BE7C-713C2351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2024-12-10T05:42:00Z</dcterms:modified>
</cp:coreProperties>
</file>